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0542" w14:textId="0B50C999" w:rsidR="00737B90" w:rsidRPr="00B73594" w:rsidRDefault="00BC2655" w:rsidP="001742EF">
      <w:pPr>
        <w:pStyle w:val="Heading1"/>
        <w:spacing w:before="0" w:line="360" w:lineRule="auto"/>
        <w:rPr>
          <w:rFonts w:ascii="Arial" w:eastAsia="Times New Roman" w:hAnsi="Arial" w:cs="Times New Roman"/>
          <w:b/>
          <w:color w:val="003C69"/>
          <w:sz w:val="40"/>
          <w:szCs w:val="40"/>
          <w:lang w:eastAsia="en-AU"/>
        </w:rPr>
      </w:pPr>
      <w:r w:rsidRPr="00B73594">
        <w:rPr>
          <w:rFonts w:ascii="Arial" w:eastAsia="Times New Roman" w:hAnsi="Arial" w:cs="Times New Roman"/>
          <w:b/>
          <w:color w:val="003C69"/>
          <w:sz w:val="40"/>
          <w:szCs w:val="40"/>
          <w:lang w:eastAsia="en-AU"/>
        </w:rPr>
        <w:t>Incoming goods</w:t>
      </w:r>
    </w:p>
    <w:tbl>
      <w:tblPr>
        <w:tblpPr w:leftFromText="180" w:rightFromText="180" w:vertAnchor="text" w:horzAnchor="page" w:tblpX="11236" w:tblpY="262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000" w:firstRow="0" w:lastRow="0" w:firstColumn="0" w:lastColumn="0" w:noHBand="0" w:noVBand="0"/>
      </w:tblPr>
      <w:tblGrid>
        <w:gridCol w:w="3875"/>
      </w:tblGrid>
      <w:tr w:rsidR="006439E4" w14:paraId="6A822707" w14:textId="77777777" w:rsidTr="006439E4">
        <w:trPr>
          <w:trHeight w:val="1808"/>
        </w:trPr>
        <w:tc>
          <w:tcPr>
            <w:tcW w:w="3875" w:type="dxa"/>
            <w:vAlign w:val="center"/>
          </w:tcPr>
          <w:p w14:paraId="09DFD1D9" w14:textId="77777777" w:rsidR="006439E4" w:rsidRPr="006A68DF" w:rsidRDefault="006439E4" w:rsidP="006439E4">
            <w:pPr>
              <w:tabs>
                <w:tab w:val="num" w:pos="284"/>
              </w:tabs>
              <w:spacing w:after="0" w:line="276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en-AU"/>
              </w:rPr>
            </w:pPr>
            <w:r w:rsidRPr="006A68DF">
              <w:rPr>
                <w:rFonts w:ascii="Arial" w:eastAsia="Times New Roman" w:hAnsi="Arial" w:cs="Times New Roman"/>
                <w:b/>
                <w:snapToGrid w:val="0"/>
                <w:sz w:val="20"/>
                <w:szCs w:val="24"/>
                <w:lang w:eastAsia="en-AU"/>
              </w:rPr>
              <w:t>Note:</w:t>
            </w:r>
            <w:r w:rsidRPr="006A68DF"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en-AU"/>
              </w:rPr>
              <w:t xml:space="preserve"> </w:t>
            </w:r>
            <w:r w:rsidRPr="006A68DF">
              <w:rPr>
                <w:rFonts w:ascii="Arial" w:eastAsia="Times New Roman" w:hAnsi="Arial" w:cs="Times New Roman"/>
                <w:i/>
                <w:snapToGrid w:val="0"/>
                <w:sz w:val="20"/>
                <w:szCs w:val="24"/>
                <w:lang w:eastAsia="en-AU"/>
              </w:rPr>
              <w:t>If you receive bulk orders that already have an itemised receipt, you may wish to attach the receipt (or a copy) to this record sheet and then complete only summary details in this record.</w:t>
            </w:r>
          </w:p>
        </w:tc>
      </w:tr>
    </w:tbl>
    <w:p w14:paraId="3C8524A5" w14:textId="77777777" w:rsidR="00BC2655" w:rsidRPr="00CF601E" w:rsidRDefault="00BC265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>Temperature information</w:t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</w:p>
    <w:p w14:paraId="5ADBA89A" w14:textId="2ABE0FE3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c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old foods – at or below 5°C</w:t>
      </w:r>
    </w:p>
    <w:p w14:paraId="37E013E8" w14:textId="00E73472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f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rozen foods – Frozen hard (does not include partially thawed)</w:t>
      </w:r>
    </w:p>
    <w:p w14:paraId="2A687DB4" w14:textId="2D44AD2B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h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ot foods – at or above 60°C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</w:p>
    <w:p w14:paraId="05AB34BE" w14:textId="77777777" w:rsidR="00BC2655" w:rsidRPr="00CF601E" w:rsidRDefault="00BC265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>Designated storage areas</w:t>
      </w:r>
    </w:p>
    <w:p w14:paraId="1413020B" w14:textId="77777777" w:rsidR="00BC2655" w:rsidRPr="00CF601E" w:rsidRDefault="00BC2655" w:rsidP="00BC2655">
      <w:pPr>
        <w:spacing w:after="0" w:line="276" w:lineRule="auto"/>
        <w:ind w:left="284" w:hanging="284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The incoming goods should be stored in the relevant areas as soon as possible, these include:</w:t>
      </w:r>
    </w:p>
    <w:p w14:paraId="38420922" w14:textId="5EB5545B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r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efrigerators/freezers/coolrooms</w:t>
      </w:r>
    </w:p>
    <w:p w14:paraId="58652C7A" w14:textId="4D9B7B0F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d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ry storage</w:t>
      </w:r>
    </w:p>
    <w:p w14:paraId="3C6816F7" w14:textId="3EB404D7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h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ot holding equipment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</w:p>
    <w:p w14:paraId="0045E8FC" w14:textId="77777777" w:rsidR="00BC2655" w:rsidRPr="00CF601E" w:rsidRDefault="00BC265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>Visual check</w:t>
      </w:r>
    </w:p>
    <w:p w14:paraId="1507CA91" w14:textId="092F76FC" w:rsidR="00BC2655" w:rsidRPr="00CF601E" w:rsidRDefault="001742EF" w:rsidP="00266966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u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se by date/</w:t>
      </w:r>
      <w:r w:rsidR="00F6411F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b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est before date (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f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oods past the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‘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use by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’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date are prohibited from being sold. Foods past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the ‘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best before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’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date can be sold provided the food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is not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damaged, deteriorated or perished)</w:t>
      </w:r>
    </w:p>
    <w:p w14:paraId="66F2C6EF" w14:textId="084727A1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p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ackaging (damaged, deteriorated, perished or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in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appropriate material)</w:t>
      </w:r>
    </w:p>
    <w:p w14:paraId="0AC6B81E" w14:textId="0FBB1956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l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abelling (name of food, name and address of supplier, lot identification)</w:t>
      </w:r>
    </w:p>
    <w:p w14:paraId="0492152B" w14:textId="71A3EC56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p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est contamination (droppings, eggs, webs, feathers etc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)</w:t>
      </w:r>
    </w:p>
    <w:p w14:paraId="7342C3EC" w14:textId="3B06922D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f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oreign objects (dirt, metal, hair)</w:t>
      </w:r>
    </w:p>
    <w:p w14:paraId="5AE03D12" w14:textId="7AD67C95" w:rsidR="006439E4" w:rsidRPr="00CF601E" w:rsidRDefault="001742EF" w:rsidP="00BC2655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d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elivery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vehicle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(clean, not carrying chemicals or other contaminants in the same area as food)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</w:p>
    <w:p w14:paraId="1176558B" w14:textId="35781646" w:rsidR="006439E4" w:rsidRPr="006439E4" w:rsidRDefault="006439E4">
      <w:pPr>
        <w:rPr>
          <w:rFonts w:ascii="Arial" w:eastAsia="Times New Roman" w:hAnsi="Arial" w:cs="Times New Roman"/>
          <w:snapToGrid w:val="0"/>
          <w:lang w:eastAsia="en-AU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90"/>
        <w:gridCol w:w="851"/>
        <w:gridCol w:w="1097"/>
        <w:gridCol w:w="2056"/>
        <w:gridCol w:w="1275"/>
        <w:gridCol w:w="1720"/>
        <w:gridCol w:w="1284"/>
        <w:gridCol w:w="1678"/>
        <w:gridCol w:w="1764"/>
        <w:gridCol w:w="1497"/>
      </w:tblGrid>
      <w:tr w:rsidR="006439E4" w:rsidRPr="00850863" w14:paraId="2D31994D" w14:textId="77777777" w:rsidTr="00CF601E">
        <w:trPr>
          <w:trHeight w:val="581"/>
        </w:trPr>
        <w:tc>
          <w:tcPr>
            <w:tcW w:w="1090" w:type="dxa"/>
            <w:shd w:val="clear" w:color="auto" w:fill="2F5496" w:themeFill="accent1" w:themeFillShade="BF"/>
            <w:vAlign w:val="center"/>
          </w:tcPr>
          <w:p w14:paraId="14048B3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0D5D7973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1097" w:type="dxa"/>
            <w:shd w:val="clear" w:color="auto" w:fill="2F5496" w:themeFill="accent1" w:themeFillShade="BF"/>
            <w:vAlign w:val="center"/>
          </w:tcPr>
          <w:p w14:paraId="5608FAA8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Supplier no.</w:t>
            </w:r>
          </w:p>
        </w:tc>
        <w:tc>
          <w:tcPr>
            <w:tcW w:w="2056" w:type="dxa"/>
            <w:shd w:val="clear" w:color="auto" w:fill="2F5496" w:themeFill="accent1" w:themeFillShade="BF"/>
            <w:vAlign w:val="center"/>
          </w:tcPr>
          <w:p w14:paraId="3184DC9E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Product</w:t>
            </w:r>
          </w:p>
        </w:tc>
        <w:tc>
          <w:tcPr>
            <w:tcW w:w="1275" w:type="dxa"/>
            <w:shd w:val="clear" w:color="auto" w:fill="2F5496" w:themeFill="accent1" w:themeFillShade="BF"/>
            <w:vAlign w:val="center"/>
          </w:tcPr>
          <w:p w14:paraId="51106E3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Temp. °C</w:t>
            </w:r>
          </w:p>
        </w:tc>
        <w:tc>
          <w:tcPr>
            <w:tcW w:w="1720" w:type="dxa"/>
            <w:shd w:val="clear" w:color="auto" w:fill="2F5496" w:themeFill="accent1" w:themeFillShade="BF"/>
            <w:vAlign w:val="center"/>
          </w:tcPr>
          <w:p w14:paraId="7E61257E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Visual check</w:t>
            </w:r>
          </w:p>
        </w:tc>
        <w:tc>
          <w:tcPr>
            <w:tcW w:w="1284" w:type="dxa"/>
            <w:shd w:val="clear" w:color="auto" w:fill="2F5496" w:themeFill="accent1" w:themeFillShade="BF"/>
            <w:vAlign w:val="center"/>
          </w:tcPr>
          <w:p w14:paraId="6FE85A1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Accepted/ rejected</w:t>
            </w:r>
          </w:p>
        </w:tc>
        <w:tc>
          <w:tcPr>
            <w:tcW w:w="1678" w:type="dxa"/>
            <w:shd w:val="clear" w:color="auto" w:fill="2F5496" w:themeFill="accent1" w:themeFillShade="BF"/>
            <w:vAlign w:val="center"/>
          </w:tcPr>
          <w:p w14:paraId="3FD5265B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Designated storage area</w:t>
            </w:r>
          </w:p>
        </w:tc>
        <w:tc>
          <w:tcPr>
            <w:tcW w:w="1764" w:type="dxa"/>
            <w:shd w:val="clear" w:color="auto" w:fill="2F5496" w:themeFill="accent1" w:themeFillShade="BF"/>
            <w:vAlign w:val="center"/>
          </w:tcPr>
          <w:p w14:paraId="6F2D509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Corrective action</w:t>
            </w:r>
          </w:p>
        </w:tc>
        <w:tc>
          <w:tcPr>
            <w:tcW w:w="1497" w:type="dxa"/>
            <w:shd w:val="clear" w:color="auto" w:fill="2F5496" w:themeFill="accent1" w:themeFillShade="BF"/>
            <w:vAlign w:val="center"/>
          </w:tcPr>
          <w:p w14:paraId="3879A166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Checked by</w:t>
            </w:r>
          </w:p>
        </w:tc>
      </w:tr>
      <w:tr w:rsidR="006439E4" w:rsidRPr="00BC2655" w14:paraId="1B96AA88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62D2F13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517DC24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6093B13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1D02F330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1538283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266CA805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317684F6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2AD78D3D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2A5215A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2A15A639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03F9D48C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7E18E45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1BFDD67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741A92C9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3A7E2241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13F4ED8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364A478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5AA742A3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5DB44852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68475B36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14831643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195695A1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225BA7E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3145D0E4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5E6B919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5FBD5B1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7E5C909D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4024E2A0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6216FD3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26FE5406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05EA2082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01EDC2C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62A2608B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36C4A0D7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305B1BF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324DA87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68453BE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431879E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1D09F42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21E85675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69499B9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47E409C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12585AD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2E4A783E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0A5E9E4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6AEB8F5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69E7E71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0099EEA0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2C640E3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1583617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6C3F5B73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55A42FF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16D10F9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6D4FED2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15129E88" w14:textId="77777777" w:rsidTr="00542749">
        <w:trPr>
          <w:trHeight w:val="454"/>
        </w:trPr>
        <w:tc>
          <w:tcPr>
            <w:tcW w:w="14312" w:type="dxa"/>
            <w:gridSpan w:val="10"/>
            <w:shd w:val="clear" w:color="auto" w:fill="8EAADB" w:themeFill="accent1" w:themeFillTint="99"/>
            <w:vAlign w:val="center"/>
          </w:tcPr>
          <w:p w14:paraId="79F3B278" w14:textId="77777777" w:rsidR="006439E4" w:rsidRPr="00BC2655" w:rsidRDefault="006439E4" w:rsidP="00542749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*Corrective action – Reject food that does not pass the visual check or is not delivered at the required temperature.</w:t>
            </w:r>
          </w:p>
        </w:tc>
      </w:tr>
    </w:tbl>
    <w:p w14:paraId="659AB31E" w14:textId="77777777" w:rsidR="00BC2655" w:rsidRDefault="00BC2655" w:rsidP="00CF601E">
      <w:pPr>
        <w:spacing w:after="0" w:line="276" w:lineRule="auto"/>
      </w:pPr>
    </w:p>
    <w:sectPr w:rsidR="00BC2655" w:rsidSect="00CF601E">
      <w:pgSz w:w="16838" w:h="11906" w:orient="landscape"/>
      <w:pgMar w:top="851" w:right="1245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A76"/>
    <w:multiLevelType w:val="hybridMultilevel"/>
    <w:tmpl w:val="480C6076"/>
    <w:lvl w:ilvl="0" w:tplc="FF867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175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5"/>
    <w:rsid w:val="000705E1"/>
    <w:rsid w:val="0010713C"/>
    <w:rsid w:val="001742EF"/>
    <w:rsid w:val="001F16D8"/>
    <w:rsid w:val="00266966"/>
    <w:rsid w:val="002B678E"/>
    <w:rsid w:val="00300F31"/>
    <w:rsid w:val="00326DFA"/>
    <w:rsid w:val="003A293D"/>
    <w:rsid w:val="006439E4"/>
    <w:rsid w:val="006A68DF"/>
    <w:rsid w:val="0070224E"/>
    <w:rsid w:val="0071341F"/>
    <w:rsid w:val="007371C5"/>
    <w:rsid w:val="00737B90"/>
    <w:rsid w:val="00806467"/>
    <w:rsid w:val="008467D8"/>
    <w:rsid w:val="00850863"/>
    <w:rsid w:val="00853D96"/>
    <w:rsid w:val="009156E8"/>
    <w:rsid w:val="009352CF"/>
    <w:rsid w:val="00985B18"/>
    <w:rsid w:val="00AE23D3"/>
    <w:rsid w:val="00B317D5"/>
    <w:rsid w:val="00B348A8"/>
    <w:rsid w:val="00B73594"/>
    <w:rsid w:val="00BC2655"/>
    <w:rsid w:val="00C04CBE"/>
    <w:rsid w:val="00C87A13"/>
    <w:rsid w:val="00C928D1"/>
    <w:rsid w:val="00CD7010"/>
    <w:rsid w:val="00CF601E"/>
    <w:rsid w:val="00D85E21"/>
    <w:rsid w:val="00DF200A"/>
    <w:rsid w:val="00E4021C"/>
    <w:rsid w:val="00E81A3D"/>
    <w:rsid w:val="00EA281E"/>
    <w:rsid w:val="00F35B07"/>
    <w:rsid w:val="00F368D4"/>
    <w:rsid w:val="00F6411F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6CCF"/>
  <w15:chartTrackingRefBased/>
  <w15:docId w15:val="{9519CF89-0278-4285-AB90-F391045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Incoming goods</vt:lpstr>
    </vt:vector>
  </TitlesOfParts>
  <Company>Queensland Health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goods</dc:title>
  <dc:subject>Template for Food Safety - incoming goods</dc:subject>
  <dc:creator>Health Protection Branch, Prevention Division, Dept of Health</dc:creator>
  <cp:keywords>Food safety, Food handling, businesses, food template,</cp:keywords>
  <dc:description/>
  <cp:lastModifiedBy>CLIVE EVES</cp:lastModifiedBy>
  <cp:revision>2</cp:revision>
  <dcterms:created xsi:type="dcterms:W3CDTF">2023-11-09T23:40:00Z</dcterms:created>
  <dcterms:modified xsi:type="dcterms:W3CDTF">2023-11-09T23:40:00Z</dcterms:modified>
</cp:coreProperties>
</file>